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37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4x4 Super Stock Contacts</w:t>
      </w:r>
    </w:p>
    <w:p>
      <w:pPr>
        <w:tabs>
          <w:tab w:val="left" w:pos="237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Mike Dirksen- (217)415-8529</w:t>
      </w:r>
    </w:p>
    <w:p>
      <w:pPr>
        <w:tabs>
          <w:tab w:val="left" w:pos="237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Trucks competing in CITP Hot Street points may pull in this class at 6800lb</w:t>
      </w:r>
    </w:p>
    <w:p>
      <w:pPr>
        <w:tabs>
          <w:tab w:val="left" w:pos="2370" w:leader="none"/>
        </w:tabs>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Trucks meeting BMF Modified Gas 4x4 rules may pull in this class at 6300lb</w:t>
      </w:r>
    </w:p>
    <w:p>
      <w:pPr>
        <w:spacing w:before="0" w:after="160" w:line="259"/>
        <w:ind w:right="0" w:left="360" w:firstLine="0"/>
        <w:jc w:val="left"/>
        <w:rPr>
          <w:rFonts w:ascii="Calibri" w:hAnsi="Calibri" w:cs="Calibri" w:eastAsia="Calibri"/>
          <w:color w:val="auto"/>
          <w:spacing w:val="0"/>
          <w:position w:val="0"/>
          <w:sz w:val="22"/>
          <w:shd w:fill="auto" w:val="clear"/>
        </w:rPr>
      </w:pP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500 cubic inch limit, Naturally aspirated. May run Aftermarket Iron blocks, Must retain OEM bore spacing. Engine may be no further forward than 14” from rear of block to centerline of front axle. Must have shielding on both sides of engine block for any exposed spark plugs. May use electric water pumps</w:t>
      </w:r>
    </w:p>
    <w:p>
      <w:pPr>
        <w:spacing w:before="0" w:after="160" w:line="259"/>
        <w:ind w:right="0" w:left="360" w:firstLine="0"/>
        <w:jc w:val="left"/>
        <w:rPr>
          <w:rFonts w:ascii="Calibri" w:hAnsi="Calibri" w:cs="Calibri" w:eastAsia="Calibri"/>
          <w:color w:val="auto"/>
          <w:spacing w:val="0"/>
          <w:position w:val="0"/>
          <w:sz w:val="22"/>
          <w:shd w:fill="auto" w:val="clear"/>
        </w:rPr>
      </w:pPr>
    </w:p>
    <w:p>
      <w:pPr>
        <w:numPr>
          <w:ilvl w:val="0"/>
          <w:numId w:val="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Aluminum heads allowed. Big Block Chevy Must be conventional (designed with OEM intake bolt pattern and port layout) No Spread Port, Symmetrical Port or Pro Stock heads. Big Block Fords will be allowed to run EX514 and A460 heads. Hemi and Brodix SR20 heads are not allowed.</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Intake. Must be cast and retain OEM intake bolt pattern and port layout. Sheet metal intakes are not allowed.</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Single carburetor, 4500 dominator maximum. No split or stretched carbs, no fuel injection and no power adders of any kind. </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11"/>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Open headers allowed. Straight upright or down and straight back. No headers pointing toward the ground or outward.</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1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One Ton or smaller OEM frame and front Axle, Rear axle may be F106 or smaller. Drop boxes and reversers allowed.</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1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Wheel base. 133”, Trucks 133”-140” will drop 200lb or 2” of hitch height, over 140” will drop 200lb and 2” hitch height.</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1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Tires. 35 x 12.50 maximum. Must be DOT approved, No cutting or Sipping. Rear tires must track at least half of front tires.</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1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Total weight bar distance is 60” measured from centerline of front axle to furthest object forward. Front tow point on weight bar may be no larger than 5”out X 12” wide and 1” thick and will not count as weight bar distance.</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21"/>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Draw bar or Reese hitch must be no less than 42” from center line of rear axle to chain hook point. No mid mount hitches. No hook points forward from centerline of rear axle. Actual hook point 3”x3.75” horizontal hole with 1.5”x1.5” max at hook point. No higher than 2” above frame rail. Hitch height 26” and must be rigid in all directions. Bars allowed from hitch to rear axle but must be attached below center line of the axle tube.</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2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OEM truck body. If bed is gutted must have bed cover. No flat beds, duallys, or fiberglass bodies. Fiberglass hoods and race seats allowed. Anything in the cab that can be unbolted may be removed, Must have OEM glass for windshield and back window.</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25"/>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OEM firewall and floor pans, or firewall and floor pans made from 18 gauge steel or 3/16 aluminum. Any open holes must be plugged.</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27"/>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Hydraulic steering is allowed</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29"/>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Fuel cells allowed, May be on weight bracket or in/under the bed. No fuel cells or fuel lines will be permitted in the cab.</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31"/>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working front brakes</w:t>
      </w:r>
    </w:p>
    <w:p>
      <w:pPr>
        <w:spacing w:before="0" w:after="0" w:line="259"/>
        <w:ind w:right="0" w:left="720" w:firstLine="0"/>
        <w:jc w:val="left"/>
        <w:rPr>
          <w:rFonts w:ascii="Calibri" w:hAnsi="Calibri" w:cs="Calibri" w:eastAsia="Calibri"/>
          <w:color w:val="000000"/>
          <w:spacing w:val="0"/>
          <w:position w:val="0"/>
          <w:sz w:val="22"/>
          <w:u w:val="single"/>
          <w:shd w:fill="auto" w:val="clear"/>
        </w:rPr>
      </w:pPr>
    </w:p>
    <w:p>
      <w:pPr>
        <w:numPr>
          <w:ilvl w:val="0"/>
          <w:numId w:val="33"/>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All engines will have a seal installed at first event. Top 3 trucks will be pump tested at the end of the season. In the event a competitor wishes to protest another truck, a protest form must be completed, and $250 fee must be levied. $50 will go to the pump tech. If the protested truck pumps over 500 cubic inches + 1% (or 540 for Iron headed trucks) the complainant will receive $200 back and the Accused will not be allowed to compete for points or prize money until the issue is resolved. If the engine pumps within limits the accused will receive the $200.</w:t>
      </w:r>
    </w:p>
    <w:p>
      <w:pPr>
        <w:spacing w:before="0" w:after="160" w:line="259"/>
        <w:ind w:right="0" w:left="720" w:firstLine="0"/>
        <w:jc w:val="left"/>
        <w:rPr>
          <w:rFonts w:ascii="Calibri" w:hAnsi="Calibri" w:cs="Calibri" w:eastAsia="Calibri"/>
          <w:color w:val="000000"/>
          <w:spacing w:val="0"/>
          <w:position w:val="0"/>
          <w:sz w:val="22"/>
          <w:u w:val="single"/>
          <w:shd w:fill="auto" w:val="clear"/>
        </w:rPr>
      </w:pPr>
    </w:p>
    <w:p>
      <w:pPr>
        <w:spacing w:before="0" w:after="160" w:line="259"/>
        <w:ind w:right="0" w:left="72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Safety regulations</w:t>
      </w:r>
    </w:p>
    <w:p>
      <w:pPr>
        <w:numPr>
          <w:ilvl w:val="0"/>
          <w:numId w:val="3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S.F.I approved bell-housing or blanket</w:t>
      </w:r>
    </w:p>
    <w:p>
      <w:pPr>
        <w:numPr>
          <w:ilvl w:val="0"/>
          <w:numId w:val="3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S.F.I approved steel flywheel and harmonic balancer</w:t>
      </w:r>
    </w:p>
    <w:p>
      <w:pPr>
        <w:numPr>
          <w:ilvl w:val="0"/>
          <w:numId w:val="3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kill switch near hook point. Reverse light at back of truck and must be operational when in reverse</w:t>
      </w:r>
    </w:p>
    <w:p>
      <w:pPr>
        <w:numPr>
          <w:ilvl w:val="0"/>
          <w:numId w:val="3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driveshaft loops and u-joint shield at all u-joints</w:t>
      </w:r>
    </w:p>
    <w:p>
      <w:pPr>
        <w:numPr>
          <w:ilvl w:val="0"/>
          <w:numId w:val="36"/>
        </w:numPr>
        <w:spacing w:before="0" w:after="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Must have accessible fire extinguisher for the driver.</w:t>
      </w:r>
    </w:p>
    <w:p>
      <w:pPr>
        <w:numPr>
          <w:ilvl w:val="0"/>
          <w:numId w:val="3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u w:val="single"/>
          <w:shd w:fill="auto" w:val="clear"/>
        </w:rPr>
        <w:t xml:space="preserve">Not following class specific or general rules may constitute a disqualification.</w:t>
      </w: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144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 Committee has final say.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3">
    <w:abstractNumId w:val="96"/>
  </w:num>
  <w:num w:numId="5">
    <w:abstractNumId w:val="90"/>
  </w:num>
  <w:num w:numId="7">
    <w:abstractNumId w:val="84"/>
  </w:num>
  <w:num w:numId="9">
    <w:abstractNumId w:val="78"/>
  </w:num>
  <w:num w:numId="11">
    <w:abstractNumId w:val="72"/>
  </w:num>
  <w:num w:numId="13">
    <w:abstractNumId w:val="66"/>
  </w:num>
  <w:num w:numId="15">
    <w:abstractNumId w:val="60"/>
  </w:num>
  <w:num w:numId="17">
    <w:abstractNumId w:val="54"/>
  </w:num>
  <w:num w:numId="19">
    <w:abstractNumId w:val="48"/>
  </w:num>
  <w:num w:numId="21">
    <w:abstractNumId w:val="42"/>
  </w:num>
  <w:num w:numId="23">
    <w:abstractNumId w:val="36"/>
  </w:num>
  <w:num w:numId="25">
    <w:abstractNumId w:val="30"/>
  </w:num>
  <w:num w:numId="27">
    <w:abstractNumId w:val="24"/>
  </w:num>
  <w:num w:numId="29">
    <w:abstractNumId w:val="18"/>
  </w:num>
  <w:num w:numId="31">
    <w:abstractNumId w:val="12"/>
  </w:num>
  <w:num w:numId="33">
    <w:abstractNumId w:val="6"/>
  </w:num>
  <w:num w:numId="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